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INCLUSIÓN EDUCATIVA EN TIJUANA EN CONTEXTO FRONTERIZO: DERECHO A LA EDUCACIÓN, BARRERAS Y PROGRAMAS DE EDUCACIÓN DUAL</w:t>
      </w:r>
    </w:p>
    <w:p w:rsidR="00000000" w:rsidDel="00000000" w:rsidP="00000000" w:rsidRDefault="00000000" w:rsidRPr="00000000" w14:paraId="00000002">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Universidad Autonóma de Baja California</w:t>
      </w:r>
    </w:p>
    <w:p w:rsidR="00000000" w:rsidDel="00000000" w:rsidP="00000000" w:rsidRDefault="00000000" w:rsidRPr="00000000" w14:paraId="00000005">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Licenciatura en Psicología</w:t>
      </w:r>
    </w:p>
    <w:p w:rsidR="00000000" w:rsidDel="00000000" w:rsidP="00000000" w:rsidRDefault="00000000" w:rsidRPr="00000000" w14:paraId="00000006">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Nombre de los integrantes:</w:t>
      </w:r>
    </w:p>
    <w:p w:rsidR="00000000" w:rsidDel="00000000" w:rsidP="00000000" w:rsidRDefault="00000000" w:rsidRPr="00000000" w14:paraId="00000008">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Aviles Gomez Daniela Jaqueline</w:t>
      </w:r>
    </w:p>
    <w:p w:rsidR="00000000" w:rsidDel="00000000" w:rsidP="00000000" w:rsidRDefault="00000000" w:rsidRPr="00000000" w14:paraId="00000009">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Escoto Gonzalez Zack</w:t>
      </w:r>
    </w:p>
    <w:p w:rsidR="00000000" w:rsidDel="00000000" w:rsidP="00000000" w:rsidRDefault="00000000" w:rsidRPr="00000000" w14:paraId="0000000A">
      <w:pPr>
        <w:spacing w:line="3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Montes Oronia Rocio Isabel</w:t>
      </w:r>
    </w:p>
    <w:p w:rsidR="00000000" w:rsidDel="00000000" w:rsidP="00000000" w:rsidRDefault="00000000" w:rsidRPr="00000000" w14:paraId="0000000B">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36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jc w:val="center"/>
        <w:rPr/>
      </w:pPr>
      <w:r w:rsidDel="00000000" w:rsidR="00000000" w:rsidRPr="00000000">
        <w:rPr>
          <w:rFonts w:ascii="Times New Roman" w:cs="Times New Roman" w:eastAsia="Times New Roman" w:hAnsi="Times New Roman"/>
          <w:b w:val="1"/>
          <w:bCs w:val="1"/>
          <w:sz w:val="24"/>
          <w:szCs w:val="24"/>
          <w:rtl w:val="0"/>
        </w:rPr>
        <w:t xml:space="preserve">Tijuana B.C. a Sábado 28 de Septiembre de 2026</w:t>
      </w:r>
      <w:r w:rsidDel="00000000" w:rsidR="00000000" w:rsidRPr="00000000">
        <w:rPr>
          <w:rtl w:val="0"/>
        </w:rPr>
      </w:r>
    </w:p>
    <w:p w:rsidR="00000000" w:rsidDel="00000000" w:rsidP="00000000" w:rsidRDefault="00000000" w:rsidRPr="00000000" w14:paraId="00000011">
      <w:pPr>
        <w:spacing w:after="240" w:line="480" w:lineRule="auto"/>
        <w:ind w:firstLine="720"/>
        <w:jc w:val="both"/>
        <w:rPr/>
      </w:pPr>
      <w:r w:rsidDel="00000000" w:rsidR="00000000" w:rsidRPr="00000000">
        <w:rPr>
          <w:rtl w:val="0"/>
        </w:rPr>
      </w:r>
    </w:p>
    <w:p w:rsidR="00000000" w:rsidDel="00000000" w:rsidP="00000000" w:rsidRDefault="00000000" w:rsidRPr="00000000" w14:paraId="00000012">
      <w:pPr>
        <w:spacing w:after="240" w:line="480" w:lineRule="auto"/>
        <w:ind w:firstLine="720"/>
        <w:jc w:val="both"/>
        <w:rPr/>
      </w:pPr>
      <w:r w:rsidDel="00000000" w:rsidR="00000000" w:rsidRPr="00000000">
        <w:rPr>
          <w:rtl w:val="0"/>
        </w:rPr>
      </w:r>
    </w:p>
    <w:p w:rsidR="00000000" w:rsidDel="00000000" w:rsidP="00000000" w:rsidRDefault="00000000" w:rsidRPr="00000000" w14:paraId="00000013">
      <w:pPr>
        <w:spacing w:after="240" w:line="480" w:lineRule="auto"/>
        <w:ind w:firstLine="720"/>
        <w:jc w:val="both"/>
        <w:rPr/>
      </w:pPr>
      <w:r w:rsidDel="00000000" w:rsidR="00000000" w:rsidRPr="00000000">
        <w:rPr>
          <w:rtl w:val="0"/>
        </w:rPr>
      </w:r>
    </w:p>
    <w:p w:rsidR="00000000" w:rsidDel="00000000" w:rsidP="00000000" w:rsidRDefault="00000000" w:rsidRPr="00000000" w14:paraId="00000014">
      <w:pPr>
        <w:spacing w:after="240" w:line="480" w:lineRule="auto"/>
        <w:ind w:firstLine="720"/>
        <w:jc w:val="both"/>
        <w:rPr/>
      </w:pPr>
      <w:r w:rsidDel="00000000" w:rsidR="00000000" w:rsidRPr="00000000">
        <w:rPr>
          <w:rtl w:val="0"/>
        </w:rPr>
      </w:r>
    </w:p>
    <w:p w:rsidR="00000000" w:rsidDel="00000000" w:rsidP="00000000" w:rsidRDefault="00000000" w:rsidRPr="00000000" w14:paraId="00000015">
      <w:pPr>
        <w:spacing w:after="240" w:line="480" w:lineRule="auto"/>
        <w:ind w:firstLine="720"/>
        <w:jc w:val="both"/>
        <w:rPr/>
      </w:pPr>
      <w:r w:rsidDel="00000000" w:rsidR="00000000" w:rsidRPr="00000000">
        <w:rPr>
          <w:rtl w:val="0"/>
        </w:rPr>
      </w:r>
    </w:p>
    <w:p w:rsidR="00000000" w:rsidDel="00000000" w:rsidP="00000000" w:rsidRDefault="00000000" w:rsidRPr="00000000" w14:paraId="00000016">
      <w:pPr>
        <w:spacing w:after="240" w:line="480" w:lineRule="auto"/>
        <w:ind w:firstLine="720"/>
        <w:jc w:val="both"/>
        <w:rPr/>
      </w:pPr>
      <w:r w:rsidDel="00000000" w:rsidR="00000000" w:rsidRPr="00000000">
        <w:rPr>
          <w:rtl w:val="0"/>
        </w:rPr>
      </w:r>
    </w:p>
    <w:p w:rsidR="00000000" w:rsidDel="00000000" w:rsidP="00000000" w:rsidRDefault="00000000" w:rsidRPr="00000000" w14:paraId="00000017">
      <w:pPr>
        <w:spacing w:after="240" w:line="480" w:lineRule="auto"/>
        <w:ind w:left="0" w:firstLine="0"/>
        <w:jc w:val="both"/>
        <w:rPr/>
      </w:pPr>
      <w:r w:rsidDel="00000000" w:rsidR="00000000" w:rsidRPr="00000000">
        <w:rPr>
          <w:rtl w:val="0"/>
        </w:rPr>
      </w:r>
    </w:p>
    <w:p w:rsidR="00000000" w:rsidDel="00000000" w:rsidP="00000000" w:rsidRDefault="00000000" w:rsidRPr="00000000" w14:paraId="00000018">
      <w:pPr>
        <w:spacing w:after="240" w:line="480" w:lineRule="auto"/>
        <w:ind w:left="0" w:firstLine="720"/>
        <w:jc w:val="both"/>
        <w:rPr/>
      </w:pPr>
      <w:r w:rsidDel="00000000" w:rsidR="00000000" w:rsidRPr="00000000">
        <w:rPr>
          <w:rtl w:val="0"/>
        </w:rPr>
        <w:t xml:space="preserve">Este trabajo de investigación, titulado </w:t>
      </w:r>
      <w:r w:rsidDel="00000000" w:rsidR="00000000" w:rsidRPr="00000000">
        <w:rPr>
          <w:i w:val="1"/>
          <w:iCs w:val="1"/>
          <w:rtl w:val="0"/>
        </w:rPr>
        <w:t xml:space="preserve">"Inclusión educativa en Tijuana en contexto fronterizo: derecho a la educación, barreras y programas de educación dual"</w:t>
      </w:r>
      <w:r w:rsidDel="00000000" w:rsidR="00000000" w:rsidRPr="00000000">
        <w:rPr>
          <w:rtl w:val="0"/>
        </w:rPr>
        <w:t xml:space="preserve">, fue elaborado por Daniela Jaqueline Aviles Gomez, Zack Escoto Gonzalez y Rocio Isabel Montes Oronia, pertenecientes a la Facultad de Medicina y Psicología (Unidad Otay) de la Universidad Autónoma de Baja California. El estudio aborda de manera integral las dinámicas de la educación inclusiva y las oportunidades de formación para personas en situación de vulnerabilidad y movilidad en la región fronteriza de Tijuana.</w:t>
      </w:r>
    </w:p>
    <w:p w:rsidR="00000000" w:rsidDel="00000000" w:rsidP="00000000" w:rsidRDefault="00000000" w:rsidRPr="00000000" w14:paraId="00000019">
      <w:pPr>
        <w:spacing w:after="240" w:line="480" w:lineRule="auto"/>
        <w:jc w:val="both"/>
        <w:rPr/>
      </w:pPr>
      <w:r w:rsidDel="00000000" w:rsidR="00000000" w:rsidRPr="00000000">
        <w:rPr>
          <w:rtl w:val="0"/>
        </w:rPr>
        <w:t xml:space="preserve">En el marco conceptual, la investigación menciona la definición de educación inclusiva establecida en la Ley General de Educación. Esta ley concibe la inclusión como el conjunto sistemático de acciones orientadas a identificar, prevenir, reducir y eliminar todas aquellas barreras que limitan o impiden el acceso, la permanencia, la participación y el aprendizaje de las y los educandos. Su intenciónl es eliminar completamente cualquier práctica de discriminación, exclusión y segregación. Asimismo, la normativa exige que la enseñanza posea una clara perspectiva de género y de derechos humanos, siendo capaz de adaptarse a las diversas capacidades, circunstancias, necesidades, estilos y ritmos de aprendizaje de cada persona, mediante la adopción de medidas de accesibilidad y ajustes razonables.</w:t>
      </w:r>
    </w:p>
    <w:p w:rsidR="00000000" w:rsidDel="00000000" w:rsidP="00000000" w:rsidRDefault="00000000" w:rsidRPr="00000000" w14:paraId="0000001A">
      <w:pPr>
        <w:spacing w:after="240" w:line="480" w:lineRule="auto"/>
        <w:jc w:val="both"/>
        <w:rPr/>
      </w:pPr>
      <w:r w:rsidDel="00000000" w:rsidR="00000000" w:rsidRPr="00000000">
        <w:rPr>
          <w:rtl w:val="0"/>
        </w:rPr>
        <w:t xml:space="preserve">El objetivo principal de la investigación es reconocer y valorar la importancia de la educación dual dirigida a las personas migrantes en el contexto fronterizo de Tijuana, buscando facilitar de manera efectiva su inserción en el campo laboral. Para alcanzar este objetivo, se empleó una metodología de búsqueda documental exhaustiva. Esta revisión abarcó fuentes oficiales, marcos normativos nacionales e institucionales, entre los que destacan la Constitución Política de los Estados Unidos Mexicanos, la Ley General de Educación y la Ley General para la Inclusión de las Personas con Discapacidad (LGIPD), así como los diversos programas de educación dual operantes en Tijuana.</w:t>
      </w:r>
    </w:p>
    <w:p w:rsidR="00000000" w:rsidDel="00000000" w:rsidP="00000000" w:rsidRDefault="00000000" w:rsidRPr="00000000" w14:paraId="0000001B">
      <w:pPr>
        <w:spacing w:after="240" w:line="480" w:lineRule="auto"/>
        <w:jc w:val="both"/>
        <w:rPr/>
      </w:pPr>
      <w:r w:rsidDel="00000000" w:rsidR="00000000" w:rsidRPr="00000000">
        <w:rPr>
          <w:rtl w:val="0"/>
        </w:rPr>
        <w:t xml:space="preserve">El marco legal sustenta el derecho universal a la educación. El artículo 3º constitucional y la Ley General de Educación garantizan formalmente este derecho, de mismo modo que el Estado debe asegurar la igualdad de oportunidades para el aprendizaje, acceso, tránsito, permanencia y egreso en todo el Sistema Educativo Nacional. Dicha educación se define como universal, inclusiva, pública, gratuita, laica y libre de cualquier sesgo discriminatorio. Por su parte, la Ley General para la Inclusión de las Personas con Discapacidad mandata a la Secretaría de Educación Pública (SEP) a diseñar y evaluar programas de educación especial e inclusiva. Esta ley exige impulsar la inclusión en todos los niveles educativos, garantizando la accesibilidad, el suministro de apoyos didácticos, técnicos y materiales, la capacitación continua del personal docente y el establecimiento de un programa nacional de becas.</w:t>
      </w:r>
    </w:p>
    <w:p w:rsidR="00000000" w:rsidDel="00000000" w:rsidP="00000000" w:rsidRDefault="00000000" w:rsidRPr="00000000" w14:paraId="0000001C">
      <w:pPr>
        <w:spacing w:after="240" w:line="480" w:lineRule="auto"/>
        <w:jc w:val="both"/>
        <w:rPr/>
      </w:pPr>
      <w:r w:rsidDel="00000000" w:rsidR="00000000" w:rsidRPr="00000000">
        <w:rPr>
          <w:rtl w:val="0"/>
        </w:rPr>
        <w:t xml:space="preserve">A pesar del marco normativo, la investigación determina diversas barreras que limitan la efectividad de estos derechos en la práctica diaria en Tijuana. Entre las principales barreras identificadas se encuentran los prejuicios y las actitudes discriminatorias en los entornos educativos y laborales, la falta generalizada de ajustes razonables en escuelas y empresas, y la insuficiente capacitación docente y empresarial en materia de inclusión. Adicionalmente, existe un limitado acceso a información clara sobre las rutas de inclusión y se advierte el riesgo de que el modelo de educación dual termine reproduciendo desigualdades si no se diseña con un enfoque genuinamente inclusivo.</w:t>
      </w:r>
    </w:p>
    <w:p w:rsidR="00000000" w:rsidDel="00000000" w:rsidP="00000000" w:rsidRDefault="00000000" w:rsidRPr="00000000" w14:paraId="0000001D">
      <w:pPr>
        <w:spacing w:after="240" w:line="480" w:lineRule="auto"/>
        <w:jc w:val="both"/>
        <w:rPr/>
      </w:pPr>
      <w:r w:rsidDel="00000000" w:rsidR="00000000" w:rsidRPr="00000000">
        <w:rPr>
          <w:rtl w:val="0"/>
        </w:rPr>
        <w:t xml:space="preserve">El estudio analiza los programas de educación dual existentes en la región como alternativas de formación integral:</w:t>
      </w:r>
    </w:p>
    <w:p w:rsidR="00000000" w:rsidDel="00000000" w:rsidP="00000000" w:rsidRDefault="00000000" w:rsidRPr="00000000" w14:paraId="0000001E">
      <w:pPr>
        <w:numPr>
          <w:ilvl w:val="0"/>
          <w:numId w:val="1"/>
        </w:numPr>
        <w:spacing w:after="0" w:afterAutospacing="0" w:line="480" w:lineRule="auto"/>
        <w:ind w:left="720" w:hanging="360"/>
        <w:jc w:val="both"/>
      </w:pPr>
      <w:r w:rsidDel="00000000" w:rsidR="00000000" w:rsidRPr="00000000">
        <w:rPr>
          <w:b w:val="1"/>
          <w:bCs w:val="1"/>
          <w:rtl w:val="0"/>
        </w:rPr>
        <w:t xml:space="preserve">Centro Scalabrini de Formación para Migrantes:</w:t>
      </w:r>
      <w:r w:rsidDel="00000000" w:rsidR="00000000" w:rsidRPr="00000000">
        <w:rPr>
          <w:rtl w:val="0"/>
        </w:rPr>
        <w:t xml:space="preserve"> Funciona como una escuela para personas refugiadas vinculada a la Casa del Migrante en Tijuana, enfocada en reactivar las fortalezas de sus alumnos mediante cuatro líneas específicas de formación para lograr su inserción laboral.</w:t>
      </w:r>
    </w:p>
    <w:p w:rsidR="00000000" w:rsidDel="00000000" w:rsidP="00000000" w:rsidRDefault="00000000" w:rsidRPr="00000000" w14:paraId="0000001F">
      <w:pPr>
        <w:numPr>
          <w:ilvl w:val="0"/>
          <w:numId w:val="1"/>
        </w:numPr>
        <w:spacing w:after="0" w:afterAutospacing="0" w:line="480" w:lineRule="auto"/>
        <w:ind w:left="720" w:hanging="360"/>
        <w:jc w:val="both"/>
      </w:pPr>
      <w:r w:rsidDel="00000000" w:rsidR="00000000" w:rsidRPr="00000000">
        <w:rPr>
          <w:b w:val="1"/>
          <w:bCs w:val="1"/>
          <w:rtl w:val="0"/>
        </w:rPr>
        <w:t xml:space="preserve">CECYTE (Educación Dual):</w:t>
      </w:r>
      <w:r w:rsidDel="00000000" w:rsidR="00000000" w:rsidRPr="00000000">
        <w:rPr>
          <w:rtl w:val="0"/>
        </w:rPr>
        <w:t xml:space="preserve"> Implementa un modelo que combina un 70% de aprendizaje práctico en empresas con un 30% de formación teórica en el plantel, lo que permite desarrollar competencias profesionales en entornos reales y adquirir experiencia desde la preparatoria.</w:t>
      </w:r>
    </w:p>
    <w:p w:rsidR="00000000" w:rsidDel="00000000" w:rsidP="00000000" w:rsidRDefault="00000000" w:rsidRPr="00000000" w14:paraId="00000020">
      <w:pPr>
        <w:numPr>
          <w:ilvl w:val="0"/>
          <w:numId w:val="1"/>
        </w:numPr>
        <w:spacing w:after="240" w:line="480" w:lineRule="auto"/>
        <w:ind w:left="720" w:hanging="360"/>
        <w:jc w:val="both"/>
      </w:pPr>
      <w:r w:rsidDel="00000000" w:rsidR="00000000" w:rsidRPr="00000000">
        <w:rPr>
          <w:b w:val="1"/>
          <w:bCs w:val="1"/>
          <w:rtl w:val="0"/>
        </w:rPr>
        <w:t xml:space="preserve">CONALEP (Educación Dual):</w:t>
      </w:r>
      <w:r w:rsidDel="00000000" w:rsidR="00000000" w:rsidRPr="00000000">
        <w:rPr>
          <w:rtl w:val="0"/>
        </w:rPr>
        <w:t xml:space="preserve"> Ofrece un esquema donde el estudiante realiza actividades laborales correspondientes a su carrera profesional en concordancia con su preparación académica para alcanzar el perfil de egreso.</w:t>
      </w:r>
    </w:p>
    <w:p w:rsidR="00000000" w:rsidDel="00000000" w:rsidP="00000000" w:rsidRDefault="00000000" w:rsidRPr="00000000" w14:paraId="00000021">
      <w:pPr>
        <w:spacing w:after="240" w:line="480" w:lineRule="auto"/>
        <w:jc w:val="both"/>
        <w:rPr/>
      </w:pPr>
      <w:r w:rsidDel="00000000" w:rsidR="00000000" w:rsidRPr="00000000">
        <w:rPr>
          <w:rtl w:val="0"/>
        </w:rPr>
        <w:t xml:space="preserve">En los resultados, se destaca la necesidad urgente de diseñar e implementar una </w:t>
      </w:r>
      <w:r w:rsidDel="00000000" w:rsidR="00000000" w:rsidRPr="00000000">
        <w:rPr>
          <w:b w:val="1"/>
          <w:bCs w:val="1"/>
          <w:i w:val="1"/>
          <w:iCs w:val="1"/>
          <w:rtl w:val="0"/>
        </w:rPr>
        <w:t xml:space="preserve">Ruta de Educación Dual Inclusiva para Jóvenes Migrantes en Tijuana</w:t>
      </w:r>
      <w:r w:rsidDel="00000000" w:rsidR="00000000" w:rsidRPr="00000000">
        <w:rPr>
          <w:b w:val="1"/>
          <w:bCs w:val="1"/>
          <w:rtl w:val="0"/>
        </w:rPr>
        <w:t xml:space="preserve">.</w:t>
      </w:r>
      <w:r w:rsidDel="00000000" w:rsidR="00000000" w:rsidRPr="00000000">
        <w:rPr>
          <w:rtl w:val="0"/>
        </w:rPr>
        <w:t xml:space="preserve"> Esta propuesta busca mitigar las dificultades administrativas y sociales mediante mecanismos como la inscripción provisional, la orientación para la regularización de documentos, el reconocimiento de estudios previos y el diseño de horarios flexibles. Asimismo, plantea ofrecer apoyo en el aprendizaje del español como segunda lengua, becas o subsidios de transporte y un acompañamiento continuo mediante tutorías escolar-laborales. Para que este esquema prospere, resulta fundamental articular alianzas estratégicas entre escuelas, empresas, albergues, organizaciones civiles y autoridades gubernamentales.</w:t>
      </w:r>
    </w:p>
    <w:p w:rsidR="00000000" w:rsidDel="00000000" w:rsidP="00000000" w:rsidRDefault="00000000" w:rsidRPr="00000000" w14:paraId="00000022">
      <w:pPr>
        <w:spacing w:after="240" w:line="480" w:lineRule="auto"/>
        <w:jc w:val="both"/>
        <w:rPr/>
      </w:pPr>
      <w:r w:rsidDel="00000000" w:rsidR="00000000" w:rsidRPr="00000000">
        <w:rPr>
          <w:rtl w:val="0"/>
        </w:rPr>
        <w:t xml:space="preserve">Finalmente, las conclusiones subrayan que la juventud migrante en Tijuana se enfrenta a un escenario de vulnerabilidad caracterizado por la falta de documentos escolares, complicaciones para revalidar estudios, constante movilidad, barreras lingüísticas, la necesidad apremiante de trabajar y episodios de discriminación. Aunque la educación dual representa una herramienta valiosa al integrar la preparación académica con la experiencia laboral práctica, únicamente logrará ser un motor de inclusión social si se implementan los apoyos de flexibilidad, accesibilidad y acompañamiento constante requeridos para garantizar la permanencia y egreso con éxito de las personas migrantes.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jc w:val="center"/>
        <w:rPr>
          <w:b w:val="1"/>
          <w:bCs w:val="1"/>
        </w:rPr>
      </w:pPr>
      <w:r w:rsidDel="00000000" w:rsidR="00000000" w:rsidRPr="00000000">
        <w:rPr>
          <w:b w:val="1"/>
          <w:bCs w:val="1"/>
          <w:rtl w:val="0"/>
        </w:rPr>
        <w:t xml:space="preserve">Referencias</w:t>
      </w:r>
    </w:p>
    <w:p w:rsidR="00000000" w:rsidDel="00000000" w:rsidP="00000000" w:rsidRDefault="00000000" w:rsidRPr="00000000" w14:paraId="0000002B">
      <w:pPr>
        <w:jc w:val="center"/>
        <w:rPr>
          <w:b w:val="1"/>
          <w:bCs w:val="1"/>
        </w:rPr>
      </w:pPr>
      <w:r w:rsidDel="00000000" w:rsidR="00000000" w:rsidRPr="00000000">
        <w:rPr>
          <w:rtl w:val="0"/>
        </w:rPr>
      </w:r>
    </w:p>
    <w:p w:rsidR="00000000" w:rsidDel="00000000" w:rsidP="00000000" w:rsidRDefault="00000000" w:rsidRPr="00000000" w14:paraId="0000002C">
      <w:pPr>
        <w:spacing w:after="240" w:before="240" w:lineRule="auto"/>
        <w:rPr>
          <w:color w:val="1155cc"/>
          <w:u w:val="single"/>
        </w:rPr>
      </w:pPr>
      <w:r w:rsidDel="00000000" w:rsidR="00000000" w:rsidRPr="00000000">
        <w:rPr>
          <w:rtl w:val="0"/>
        </w:rPr>
        <w:t xml:space="preserve">Colegio de Estudios Científicos y Tecnológicos del Estado de Baja California. (s. f.). </w:t>
      </w:r>
      <w:r w:rsidDel="00000000" w:rsidR="00000000" w:rsidRPr="00000000">
        <w:rPr>
          <w:i w:val="1"/>
          <w:iCs w:val="1"/>
          <w:rtl w:val="0"/>
        </w:rPr>
        <w:t xml:space="preserve">Programas</w:t>
      </w:r>
      <w:r w:rsidDel="00000000" w:rsidR="00000000" w:rsidRPr="00000000">
        <w:rPr>
          <w:rtl w:val="0"/>
        </w:rPr>
        <w:t xml:space="preserve">.</w:t>
      </w:r>
      <w:hyperlink r:id="rId6">
        <w:r w:rsidDel="00000000" w:rsidR="00000000" w:rsidRPr="00000000">
          <w:rPr>
            <w:rtl w:val="0"/>
          </w:rPr>
          <w:t xml:space="preserve"> </w:t>
        </w:r>
      </w:hyperlink>
      <w:hyperlink r:id="rId7">
        <w:r w:rsidDel="00000000" w:rsidR="00000000" w:rsidRPr="00000000">
          <w:rPr>
            <w:color w:val="1155cc"/>
            <w:u w:val="single"/>
            <w:rtl w:val="0"/>
          </w:rPr>
          <w:t xml:space="preserve">https://www.cecytebc.edu.mx/sitio/estudiantes_programas.asp</w:t>
        </w:r>
      </w:hyperlink>
      <w:r w:rsidDel="00000000" w:rsidR="00000000" w:rsidRPr="00000000">
        <w:rPr>
          <w:rtl w:val="0"/>
        </w:rPr>
      </w:r>
    </w:p>
    <w:p w:rsidR="00000000" w:rsidDel="00000000" w:rsidP="00000000" w:rsidRDefault="00000000" w:rsidRPr="00000000" w14:paraId="0000002D">
      <w:pPr>
        <w:spacing w:after="240" w:before="240" w:lineRule="auto"/>
        <w:rPr>
          <w:color w:val="1155cc"/>
          <w:u w:val="single"/>
        </w:rPr>
      </w:pPr>
      <w:r w:rsidDel="00000000" w:rsidR="00000000" w:rsidRPr="00000000">
        <w:rPr>
          <w:rtl w:val="0"/>
        </w:rPr>
        <w:t xml:space="preserve">Colegio Nacional de Educación Profesional Técnica. (s. f.). </w:t>
      </w:r>
      <w:r w:rsidDel="00000000" w:rsidR="00000000" w:rsidRPr="00000000">
        <w:rPr>
          <w:i w:val="1"/>
          <w:iCs w:val="1"/>
          <w:rtl w:val="0"/>
        </w:rPr>
        <w:t xml:space="preserve">Stand CONALEP</w:t>
      </w:r>
      <w:r w:rsidDel="00000000" w:rsidR="00000000" w:rsidRPr="00000000">
        <w:rPr>
          <w:rtl w:val="0"/>
        </w:rPr>
        <w:t xml:space="preserve">.</w:t>
      </w:r>
      <w:hyperlink r:id="rId8">
        <w:r w:rsidDel="00000000" w:rsidR="00000000" w:rsidRPr="00000000">
          <w:rPr>
            <w:rtl w:val="0"/>
          </w:rPr>
          <w:t xml:space="preserve"> </w:t>
        </w:r>
      </w:hyperlink>
      <w:hyperlink r:id="rId9">
        <w:r w:rsidDel="00000000" w:rsidR="00000000" w:rsidRPr="00000000">
          <w:rPr>
            <w:color w:val="1155cc"/>
            <w:u w:val="single"/>
            <w:rtl w:val="0"/>
          </w:rPr>
          <w:t xml:space="preserve">https://www.conalep.edu.mx/coloquiodual/stand/0</w:t>
        </w:r>
      </w:hyperlink>
      <w:r w:rsidDel="00000000" w:rsidR="00000000" w:rsidRPr="00000000">
        <w:rPr>
          <w:rtl w:val="0"/>
        </w:rPr>
      </w:r>
    </w:p>
    <w:p w:rsidR="00000000" w:rsidDel="00000000" w:rsidP="00000000" w:rsidRDefault="00000000" w:rsidRPr="00000000" w14:paraId="0000002E">
      <w:pPr>
        <w:spacing w:after="240" w:before="240" w:lineRule="auto"/>
        <w:rPr>
          <w:color w:val="1155cc"/>
          <w:u w:val="single"/>
        </w:rPr>
      </w:pPr>
      <w:r w:rsidDel="00000000" w:rsidR="00000000" w:rsidRPr="00000000">
        <w:rPr>
          <w:rtl w:val="0"/>
        </w:rPr>
        <w:t xml:space="preserve">H. Ayuntamiento de Tijuana. (2026). </w:t>
      </w:r>
      <w:r w:rsidDel="00000000" w:rsidR="00000000" w:rsidRPr="00000000">
        <w:rPr>
          <w:i w:val="1"/>
          <w:iCs w:val="1"/>
          <w:rtl w:val="0"/>
        </w:rPr>
        <w:t xml:space="preserve">Reglamento sobre los Derechos de Personas con Discapacidad del Municipio de Tijuana</w:t>
      </w:r>
      <w:r w:rsidDel="00000000" w:rsidR="00000000" w:rsidRPr="00000000">
        <w:rPr>
          <w:rtl w:val="0"/>
        </w:rPr>
        <w:t xml:space="preserve">.</w:t>
      </w:r>
      <w:hyperlink r:id="rId10">
        <w:r w:rsidDel="00000000" w:rsidR="00000000" w:rsidRPr="00000000">
          <w:rPr>
            <w:rtl w:val="0"/>
          </w:rPr>
          <w:t xml:space="preserve"> </w:t>
        </w:r>
      </w:hyperlink>
      <w:hyperlink r:id="rId11">
        <w:r w:rsidDel="00000000" w:rsidR="00000000" w:rsidRPr="00000000">
          <w:rPr>
            <w:color w:val="1155cc"/>
            <w:u w:val="single"/>
            <w:rtl w:val="0"/>
          </w:rPr>
          <w:t xml:space="preserve">https://www.tijuana.gob.mx/normatividad/documentos/Reglamentos/40_20260918164554498_wp.pdf</w:t>
        </w:r>
      </w:hyperlink>
      <w:r w:rsidDel="00000000" w:rsidR="00000000" w:rsidRPr="00000000">
        <w:rPr>
          <w:rtl w:val="0"/>
        </w:rPr>
      </w:r>
    </w:p>
    <w:p w:rsidR="00000000" w:rsidDel="00000000" w:rsidP="00000000" w:rsidRDefault="00000000" w:rsidRPr="00000000" w14:paraId="0000002F">
      <w:pPr>
        <w:spacing w:after="240" w:before="240" w:lineRule="auto"/>
        <w:rPr>
          <w:color w:val="1155cc"/>
          <w:u w:val="single"/>
        </w:rPr>
      </w:pPr>
      <w:r w:rsidDel="00000000" w:rsidR="00000000" w:rsidRPr="00000000">
        <w:rPr>
          <w:rtl w:val="0"/>
        </w:rPr>
        <w:t xml:space="preserve">L. XIV Legislatura del H. Congreso de la Unión. (2026). </w:t>
      </w:r>
      <w:r w:rsidDel="00000000" w:rsidR="00000000" w:rsidRPr="00000000">
        <w:rPr>
          <w:i w:val="1"/>
          <w:iCs w:val="1"/>
          <w:rtl w:val="0"/>
        </w:rPr>
        <w:t xml:space="preserve">Ley General de Educación</w:t>
      </w:r>
      <w:r w:rsidDel="00000000" w:rsidR="00000000" w:rsidRPr="00000000">
        <w:rPr>
          <w:rtl w:val="0"/>
        </w:rPr>
        <w:t xml:space="preserve"> (Última reforma DOF 15 de enero de 2026). Cámara de Diputados del H. Congreso de la Unión.</w:t>
      </w:r>
      <w:hyperlink r:id="rId12">
        <w:r w:rsidDel="00000000" w:rsidR="00000000" w:rsidRPr="00000000">
          <w:rPr>
            <w:rtl w:val="0"/>
          </w:rPr>
          <w:t xml:space="preserve"> </w:t>
        </w:r>
      </w:hyperlink>
      <w:hyperlink r:id="rId13">
        <w:r w:rsidDel="00000000" w:rsidR="00000000" w:rsidRPr="00000000">
          <w:rPr>
            <w:color w:val="1155cc"/>
            <w:u w:val="single"/>
            <w:rtl w:val="0"/>
          </w:rPr>
          <w:t xml:space="preserve">https://www.diputados.gob.mx/LeyesBiblio/pdf/LGE.pdf</w:t>
        </w:r>
      </w:hyperlink>
      <w:r w:rsidDel="00000000" w:rsidR="00000000" w:rsidRPr="00000000">
        <w:rPr>
          <w:rtl w:val="0"/>
        </w:rPr>
      </w:r>
    </w:p>
    <w:p w:rsidR="00000000" w:rsidDel="00000000" w:rsidP="00000000" w:rsidRDefault="00000000" w:rsidRPr="00000000" w14:paraId="00000030">
      <w:pPr>
        <w:spacing w:after="240" w:before="240" w:lineRule="auto"/>
        <w:rPr>
          <w:color w:val="1155cc"/>
          <w:u w:val="single"/>
        </w:rPr>
      </w:pPr>
      <w:r w:rsidDel="00000000" w:rsidR="00000000" w:rsidRPr="00000000">
        <w:rPr>
          <w:rtl w:val="0"/>
        </w:rPr>
        <w:t xml:space="preserve">The Global Compact on Refugees. (s. f.). </w:t>
      </w:r>
      <w:r w:rsidDel="00000000" w:rsidR="00000000" w:rsidRPr="00000000">
        <w:rPr>
          <w:i w:val="1"/>
          <w:iCs w:val="1"/>
          <w:rtl w:val="0"/>
        </w:rPr>
        <w:t xml:space="preserve">Centro Scalabrini de Formación para Migrantes</w:t>
      </w:r>
      <w:r w:rsidDel="00000000" w:rsidR="00000000" w:rsidRPr="00000000">
        <w:rPr>
          <w:rtl w:val="0"/>
        </w:rPr>
        <w:t xml:space="preserve">. ACNUR; Casa del Migrante Tijuana–Scalabrinianos.</w:t>
      </w:r>
      <w:hyperlink r:id="rId14">
        <w:r w:rsidDel="00000000" w:rsidR="00000000" w:rsidRPr="00000000">
          <w:rPr>
            <w:rtl w:val="0"/>
          </w:rPr>
          <w:t xml:space="preserve"> </w:t>
        </w:r>
      </w:hyperlink>
      <w:hyperlink r:id="rId15">
        <w:r w:rsidDel="00000000" w:rsidR="00000000" w:rsidRPr="00000000">
          <w:rPr>
            <w:color w:val="1155cc"/>
            <w:u w:val="single"/>
            <w:rtl w:val="0"/>
          </w:rPr>
          <w:t xml:space="preserve">https://globalcompactrefugees.org/good-practices/centro-scalabrini-de-formacion-para-migrantes</w:t>
        </w:r>
      </w:hyperlink>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sectPr>
      <w:headerReference r:id="rId1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tijuana.gob.mx/normatividad/documentos/Reglamentos/40_20260918164554498_wp.pdf" TargetMode="External"/><Relationship Id="rId10" Type="http://schemas.openxmlformats.org/officeDocument/2006/relationships/hyperlink" Target="https://www.tijuana.gob.mx/normatividad/documentos/Reglamentos/40_20260918164554498_wp.pdf" TargetMode="External"/><Relationship Id="rId13" Type="http://schemas.openxmlformats.org/officeDocument/2006/relationships/hyperlink" Target="https://www.diputados.gob.mx/LeyesBiblio/pdf/LGE.pdf" TargetMode="External"/><Relationship Id="rId12" Type="http://schemas.openxmlformats.org/officeDocument/2006/relationships/hyperlink" Target="https://www.diputados.gob.mx/LeyesBiblio/pdf/LGE.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conalep.edu.mx/coloquiodual/stand/0" TargetMode="External"/><Relationship Id="rId15" Type="http://schemas.openxmlformats.org/officeDocument/2006/relationships/hyperlink" Target="https://globalcompactrefugees.org/good-practices/centro-scalabrini-de-formacion-para-migrantes" TargetMode="External"/><Relationship Id="rId14" Type="http://schemas.openxmlformats.org/officeDocument/2006/relationships/hyperlink" Target="https://globalcompactrefugees.org/good-practices/centro-scalabrini-de-formacion-para-migrantes" TargetMode="External"/><Relationship Id="rId16" Type="http://schemas.openxmlformats.org/officeDocument/2006/relationships/header" Target="header1.xml"/><Relationship Id="rId5" Type="http://schemas.openxmlformats.org/officeDocument/2006/relationships/styles" Target="styles.xml"/><Relationship Id="rId6" Type="http://schemas.openxmlformats.org/officeDocument/2006/relationships/hyperlink" Target="https://www.cecytebc.edu.mx/sitio/estudiantes_programas.asp" TargetMode="External"/><Relationship Id="rId7" Type="http://schemas.openxmlformats.org/officeDocument/2006/relationships/hyperlink" Target="https://www.cecytebc.edu.mx/sitio/estudiantes_programas.asp" TargetMode="External"/><Relationship Id="rId8" Type="http://schemas.openxmlformats.org/officeDocument/2006/relationships/hyperlink" Target="https://www.conalep.edu.mx/coloquiodual/stan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